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E7C" w:rsidRDefault="00943E7C" w:rsidP="00943E7C">
      <w:pPr>
        <w:jc w:val="center"/>
        <w:rPr>
          <w:b/>
          <w:bCs/>
          <w:color w:val="000000"/>
          <w:sz w:val="27"/>
          <w:szCs w:val="27"/>
        </w:rPr>
      </w:pPr>
      <w:bookmarkStart w:id="0" w:name="Art.1"/>
      <w:r>
        <w:rPr>
          <w:b/>
          <w:bCs/>
          <w:color w:val="000000"/>
          <w:sz w:val="27"/>
          <w:szCs w:val="27"/>
        </w:rPr>
        <w:t xml:space="preserve">30 </w:t>
      </w:r>
      <w:proofErr w:type="gramStart"/>
      <w:r>
        <w:rPr>
          <w:b/>
          <w:bCs/>
          <w:color w:val="000000"/>
          <w:sz w:val="27"/>
          <w:szCs w:val="27"/>
        </w:rPr>
        <w:t>JULI</w:t>
      </w:r>
      <w:proofErr w:type="gramEnd"/>
      <w:r>
        <w:rPr>
          <w:b/>
          <w:bCs/>
          <w:color w:val="000000"/>
          <w:sz w:val="27"/>
          <w:szCs w:val="27"/>
        </w:rPr>
        <w:t xml:space="preserve"> 1963. - Wet betreffende het verhuren van films bestemd voor commerciële vertoning</w:t>
      </w:r>
    </w:p>
    <w:p w:rsidR="00943E7C" w:rsidRDefault="00943E7C">
      <w:pPr>
        <w:rPr>
          <w:b/>
          <w:bCs/>
          <w:color w:val="000000"/>
          <w:sz w:val="27"/>
          <w:szCs w:val="27"/>
        </w:rPr>
      </w:pPr>
    </w:p>
    <w:p w:rsidR="00E9506F" w:rsidRDefault="00943E7C">
      <w:r>
        <w:rPr>
          <w:b/>
          <w:bCs/>
          <w:color w:val="000000"/>
          <w:sz w:val="27"/>
          <w:szCs w:val="27"/>
        </w:rPr>
        <w:t>Artikel</w:t>
      </w:r>
      <w:r>
        <w:rPr>
          <w:rStyle w:val="apple-converted-space"/>
          <w:b/>
          <w:bCs/>
          <w:color w:val="000000"/>
          <w:sz w:val="27"/>
          <w:szCs w:val="27"/>
        </w:rPr>
        <w:t> </w:t>
      </w:r>
      <w:bookmarkEnd w:id="0"/>
      <w:r>
        <w:fldChar w:fldCharType="begin"/>
      </w:r>
      <w:r>
        <w:instrText xml:space="preserve"> HYPERLINK "http://www.ejustice.just.fgov.be/cgi_loi/loi_a1.pl?imgcn.x=51&amp;imgcn.y=11&amp;DETAIL=1963073030%2FN&amp;caller=list&amp;row_id=1&amp;numero=1&amp;rech=16&amp;cn=1963073030&amp;table_name=WET&amp;nm=1963073004&amp;la=N&amp;ddfm=07&amp;chercher=t&amp;language=nl&amp;choix1=EN&amp;choix2=EN&amp;fromtab=wet_all&amp;nl=n&amp;sql=dd+between+date%271963-07-30%27+and+date%271963-07-30%27+and+actif+%3D+%27Y%27&amp;ddda=1963&amp;tri=dd+AS+RANK+&amp;trier=afkondiging&amp;ddfa=1963&amp;dddj=30&amp;dddm=07&amp;ddfj=30" \l "Art.2" </w:instrText>
      </w:r>
      <w:r>
        <w:fldChar w:fldCharType="separate"/>
      </w:r>
      <w:r>
        <w:rPr>
          <w:rStyle w:val="Hyperlink"/>
          <w:b/>
          <w:bCs/>
          <w:sz w:val="27"/>
          <w:szCs w:val="27"/>
        </w:rPr>
        <w:t>1</w:t>
      </w:r>
      <w:r>
        <w:fldChar w:fldCharType="end"/>
      </w:r>
      <w:r>
        <w:rPr>
          <w:b/>
          <w:bCs/>
          <w:color w:val="000000"/>
          <w:sz w:val="27"/>
          <w:szCs w:val="27"/>
        </w:rPr>
        <w:t xml:space="preserve">. &lt;W 20-05-1985, art. 1&gt; Voor de toepassing van deze wet moet worden verstaan onder netto-ontvangst, de opbrengst van de verkoop van de entreekaartjes in de bioskoopzalen, verminderd met de auteursrechten, de belasting over de toegevoegde waarde en de gemeentebelastingen, evenals de andere heffingen en belastingen aan </w:t>
      </w:r>
      <w:proofErr w:type="gramStart"/>
      <w:r>
        <w:rPr>
          <w:b/>
          <w:bCs/>
          <w:color w:val="000000"/>
          <w:sz w:val="27"/>
          <w:szCs w:val="27"/>
        </w:rPr>
        <w:t>de</w:t>
      </w:r>
      <w:proofErr w:type="gramEnd"/>
      <w:r>
        <w:rPr>
          <w:b/>
          <w:bCs/>
          <w:color w:val="000000"/>
          <w:sz w:val="27"/>
          <w:szCs w:val="27"/>
        </w:rPr>
        <w:t xml:space="preserve"> duiden door de Koning.</w:t>
      </w:r>
      <w:r>
        <w:rPr>
          <w:b/>
          <w:bCs/>
          <w:color w:val="000000"/>
          <w:sz w:val="27"/>
          <w:szCs w:val="27"/>
        </w:rPr>
        <w:br/>
        <w:t>  De Koning stelt de modaliteiten vast om het bedrag van de netto-ontvangst, zoals vermeld in het eerste lid, te bepalen.</w:t>
      </w:r>
      <w:r>
        <w:rPr>
          <w:b/>
          <w:bCs/>
          <w:color w:val="000000"/>
          <w:sz w:val="27"/>
          <w:szCs w:val="27"/>
        </w:rPr>
        <w:br/>
      </w:r>
      <w:r>
        <w:rPr>
          <w:b/>
          <w:bCs/>
          <w:color w:val="000000"/>
          <w:sz w:val="27"/>
          <w:szCs w:val="27"/>
        </w:rPr>
        <w:br/>
        <w:t>  </w:t>
      </w:r>
      <w:bookmarkStart w:id="1" w:name="Art.2"/>
      <w:r>
        <w:fldChar w:fldCharType="begin"/>
      </w:r>
      <w:r>
        <w:instrText xml:space="preserve"> HYPERLINK "http://www.ejustice.just.fgov.be/cgi_loi/loi_a1.pl?imgcn.x=51&amp;imgcn.y=11&amp;DETAIL=1963073030%2FN&amp;caller=list&amp;row_id=1&amp;numero=1&amp;rech=16&amp;cn=1963073030&amp;table_name=WET&amp;nm=1963073004&amp;la=N&amp;ddfm=07&amp;chercher=t&amp;language=nl&amp;choix1=EN&amp;choix2=EN&amp;fromtab=wet_all&amp;nl=n&amp;sql=dd+between+date%271963-07-30%27+and+date%271963-07-30%27+and+actif+%3D+%27Y%27&amp;ddda=1963&amp;tri=dd+AS+RANK+&amp;trier=afkondiging&amp;ddfa=1963&amp;dddj=30&amp;dddm=07&amp;ddfj=30" \l "Art.1" </w:instrText>
      </w:r>
      <w:r>
        <w:fldChar w:fldCharType="separate"/>
      </w:r>
      <w:proofErr w:type="gramStart"/>
      <w:r>
        <w:rPr>
          <w:rStyle w:val="Hyperlink"/>
          <w:b/>
          <w:bCs/>
          <w:sz w:val="27"/>
          <w:szCs w:val="27"/>
        </w:rPr>
        <w:t>Art.</w:t>
      </w:r>
      <w:proofErr w:type="gramEnd"/>
      <w:r>
        <w:fldChar w:fldCharType="end"/>
      </w:r>
      <w:bookmarkEnd w:id="1"/>
      <w:r>
        <w:rPr>
          <w:rStyle w:val="apple-converted-space"/>
          <w:b/>
          <w:bCs/>
          <w:color w:val="000000"/>
          <w:sz w:val="27"/>
          <w:szCs w:val="27"/>
        </w:rPr>
        <w:t> </w:t>
      </w:r>
      <w:hyperlink r:id="rId5" w:anchor="Art.3" w:history="1">
        <w:r>
          <w:rPr>
            <w:rStyle w:val="Hyperlink"/>
            <w:b/>
            <w:bCs/>
            <w:sz w:val="27"/>
            <w:szCs w:val="27"/>
          </w:rPr>
          <w:t>2</w:t>
        </w:r>
      </w:hyperlink>
      <w:r>
        <w:rPr>
          <w:b/>
          <w:bCs/>
          <w:color w:val="000000"/>
          <w:sz w:val="27"/>
          <w:szCs w:val="27"/>
        </w:rPr>
        <w:t xml:space="preserve">. &lt;W 20-05-1985, art. </w:t>
      </w:r>
      <w:proofErr w:type="gramStart"/>
      <w:r>
        <w:rPr>
          <w:b/>
          <w:bCs/>
          <w:color w:val="000000"/>
          <w:sz w:val="27"/>
          <w:szCs w:val="27"/>
        </w:rPr>
        <w:t>2&gt;</w:t>
      </w:r>
      <w:r>
        <w:rPr>
          <w:b/>
          <w:bCs/>
          <w:color w:val="000000"/>
          <w:sz w:val="27"/>
          <w:szCs w:val="27"/>
        </w:rPr>
        <w:br/>
        <w:t>  </w:t>
      </w:r>
      <w:proofErr w:type="gramEnd"/>
      <w:r>
        <w:rPr>
          <w:b/>
          <w:bCs/>
          <w:color w:val="000000"/>
          <w:sz w:val="27"/>
          <w:szCs w:val="27"/>
        </w:rPr>
        <w:t xml:space="preserve">§ 1. De Minister van Economische Zaken bepaalt </w:t>
      </w:r>
      <w:proofErr w:type="gramStart"/>
      <w:r>
        <w:rPr>
          <w:b/>
          <w:bCs/>
          <w:color w:val="000000"/>
          <w:sz w:val="27"/>
          <w:szCs w:val="27"/>
        </w:rPr>
        <w:t>de</w:t>
      </w:r>
      <w:proofErr w:type="gramEnd"/>
      <w:r>
        <w:rPr>
          <w:b/>
          <w:bCs/>
          <w:color w:val="000000"/>
          <w:sz w:val="27"/>
          <w:szCs w:val="27"/>
        </w:rPr>
        <w:t xml:space="preserve"> maximum huurprijs van films bestemd voor commerciële vertoning op basis van een maximum </w:t>
      </w:r>
      <w:bookmarkStart w:id="2" w:name="_GoBack"/>
      <w:bookmarkEnd w:id="2"/>
      <w:r>
        <w:rPr>
          <w:b/>
          <w:bCs/>
          <w:color w:val="000000"/>
          <w:sz w:val="27"/>
          <w:szCs w:val="27"/>
        </w:rPr>
        <w:t>percentage van de netto-ontvangst bekomen voor elk volledig programma, zoals dat door de Koning wordt bepaald.</w:t>
      </w:r>
      <w:r>
        <w:rPr>
          <w:b/>
          <w:bCs/>
          <w:color w:val="000000"/>
          <w:sz w:val="27"/>
          <w:szCs w:val="27"/>
        </w:rPr>
        <w:br/>
        <w:t xml:space="preserve">  § 2. De Minister van Economische Zaken stelt het maximumbedrag vast dat de verdeler als afschrijving van de </w:t>
      </w:r>
      <w:proofErr w:type="spellStart"/>
      <w:r>
        <w:rPr>
          <w:b/>
          <w:bCs/>
          <w:color w:val="000000"/>
          <w:sz w:val="27"/>
          <w:szCs w:val="27"/>
        </w:rPr>
        <w:t>copie</w:t>
      </w:r>
      <w:proofErr w:type="spellEnd"/>
      <w:r>
        <w:rPr>
          <w:b/>
          <w:bCs/>
          <w:color w:val="000000"/>
          <w:sz w:val="27"/>
          <w:szCs w:val="27"/>
        </w:rPr>
        <w:t xml:space="preserve"> of als waarborgen voor betaling van de huurprijs kan eisen.</w:t>
      </w:r>
      <w:r>
        <w:rPr>
          <w:b/>
          <w:bCs/>
          <w:color w:val="000000"/>
          <w:sz w:val="27"/>
          <w:szCs w:val="27"/>
        </w:rPr>
        <w:br/>
      </w:r>
      <w:r>
        <w:rPr>
          <w:b/>
          <w:bCs/>
          <w:color w:val="000000"/>
          <w:sz w:val="27"/>
          <w:szCs w:val="27"/>
        </w:rPr>
        <w:br/>
        <w:t>  </w:t>
      </w:r>
      <w:bookmarkStart w:id="3" w:name="Art.3"/>
      <w:r>
        <w:fldChar w:fldCharType="begin"/>
      </w:r>
      <w:r>
        <w:instrText xml:space="preserve"> HYPERLINK "http://www.ejustice.just.fgov.be/cgi_loi/loi_a1.pl?imgcn.x=51&amp;imgcn.y=11&amp;DETAIL=1963073030%2FN&amp;caller=list&amp;row_id=1&amp;numero=1&amp;rech=16&amp;cn=1963073030&amp;table_name=WET&amp;nm=1963073004&amp;la=N&amp;ddfm=07&amp;chercher=t&amp;language=nl&amp;choix1=EN&amp;choix2=EN&amp;fromtab=wet_all&amp;nl=n&amp;sql=dd+between+date%271963-07-30%27+and+date%271963-07-30%27+and+actif+%3D+%27Y%27&amp;ddda=1963&amp;tri=dd+AS+RANK+&amp;trier=afkondiging&amp;ddfa=1963&amp;dddj=30&amp;dddm=07&amp;ddfj=30" \l "Art.2" </w:instrText>
      </w:r>
      <w:r>
        <w:fldChar w:fldCharType="separate"/>
      </w:r>
      <w:proofErr w:type="gramStart"/>
      <w:r>
        <w:rPr>
          <w:rStyle w:val="Hyperlink"/>
          <w:b/>
          <w:bCs/>
          <w:sz w:val="27"/>
          <w:szCs w:val="27"/>
        </w:rPr>
        <w:t>Art.</w:t>
      </w:r>
      <w:proofErr w:type="gramEnd"/>
      <w:r>
        <w:fldChar w:fldCharType="end"/>
      </w:r>
      <w:bookmarkEnd w:id="3"/>
      <w:r>
        <w:rPr>
          <w:rStyle w:val="apple-converted-space"/>
          <w:b/>
          <w:bCs/>
          <w:color w:val="000000"/>
          <w:sz w:val="27"/>
          <w:szCs w:val="27"/>
        </w:rPr>
        <w:t> </w:t>
      </w:r>
      <w:hyperlink r:id="rId6" w:anchor="Art.4" w:history="1">
        <w:r>
          <w:rPr>
            <w:rStyle w:val="Hyperlink"/>
            <w:b/>
            <w:bCs/>
            <w:sz w:val="27"/>
            <w:szCs w:val="27"/>
          </w:rPr>
          <w:t>3</w:t>
        </w:r>
      </w:hyperlink>
      <w:r>
        <w:rPr>
          <w:b/>
          <w:bCs/>
          <w:color w:val="000000"/>
          <w:sz w:val="27"/>
          <w:szCs w:val="27"/>
        </w:rPr>
        <w:t xml:space="preserve">. § 1. Alvorens een besluit uit te vaardigen in toepassing van artikelen 1 en 2, raadpleegt de Koning of de Minister een commissie over de wenselijkheid van het uitvaardigen van een besluit in toepassing van artikelen 1 en 2 en over de bepalingen van het ontworpen besluit. &lt;W 20-05-1985, art. </w:t>
      </w:r>
      <w:proofErr w:type="gramStart"/>
      <w:r>
        <w:rPr>
          <w:b/>
          <w:bCs/>
          <w:color w:val="000000"/>
          <w:sz w:val="27"/>
          <w:szCs w:val="27"/>
        </w:rPr>
        <w:t>3&gt;</w:t>
      </w:r>
      <w:r>
        <w:rPr>
          <w:b/>
          <w:bCs/>
          <w:color w:val="000000"/>
          <w:sz w:val="27"/>
          <w:szCs w:val="27"/>
        </w:rPr>
        <w:br/>
        <w:t>  </w:t>
      </w:r>
      <w:proofErr w:type="gramEnd"/>
      <w:r>
        <w:rPr>
          <w:b/>
          <w:bCs/>
          <w:color w:val="000000"/>
          <w:sz w:val="27"/>
          <w:szCs w:val="27"/>
        </w:rPr>
        <w:t>§ 2. In de sub § 1 bedoelde commissie heeft een gelijk aantal bioscoopondernemers en filmverdelers zitting. De commissie wordt voorgezeten door de ambtenaar die door de Minister wordt aangewezen.</w:t>
      </w:r>
      <w:r>
        <w:rPr>
          <w:b/>
          <w:bCs/>
          <w:color w:val="000000"/>
          <w:sz w:val="27"/>
          <w:szCs w:val="27"/>
        </w:rPr>
        <w:br/>
        <w:t xml:space="preserve">  De Koning bepaalt de wijze waarop de leden van de commissie worden aangewezen </w:t>
      </w:r>
      <w:proofErr w:type="gramStart"/>
      <w:r>
        <w:rPr>
          <w:b/>
          <w:bCs/>
          <w:color w:val="000000"/>
          <w:sz w:val="27"/>
          <w:szCs w:val="27"/>
        </w:rPr>
        <w:t>alsmede</w:t>
      </w:r>
      <w:proofErr w:type="gramEnd"/>
      <w:r>
        <w:rPr>
          <w:b/>
          <w:bCs/>
          <w:color w:val="000000"/>
          <w:sz w:val="27"/>
          <w:szCs w:val="27"/>
        </w:rPr>
        <w:t xml:space="preserve"> de werkingsmodaliteiten van de commissie.</w:t>
      </w:r>
      <w:r>
        <w:rPr>
          <w:b/>
          <w:bCs/>
          <w:color w:val="000000"/>
          <w:sz w:val="27"/>
          <w:szCs w:val="27"/>
        </w:rPr>
        <w:br/>
        <w:t>  § 3. De adviezen van de commissie zijn met redenen omkleed. Wanneer zij niet met eenparigheid van stemmen tot stand zijn gekomen, vermelden de adviezen de tot uitdrukking gebrachte meningen. De adviezen zijn niet bindend voor de Minister.</w:t>
      </w:r>
      <w:r>
        <w:rPr>
          <w:b/>
          <w:bCs/>
          <w:color w:val="000000"/>
          <w:sz w:val="27"/>
          <w:szCs w:val="27"/>
        </w:rPr>
        <w:br/>
      </w:r>
      <w:r>
        <w:rPr>
          <w:b/>
          <w:bCs/>
          <w:color w:val="000000"/>
          <w:sz w:val="27"/>
          <w:szCs w:val="27"/>
        </w:rPr>
        <w:br/>
        <w:t>  </w:t>
      </w:r>
      <w:bookmarkStart w:id="4" w:name="Art.4"/>
      <w:r>
        <w:fldChar w:fldCharType="begin"/>
      </w:r>
      <w:r>
        <w:instrText xml:space="preserve"> HYPERLINK "http://www.ejustice.just.fgov.be/cgi_loi/loi_a1.pl?imgcn.x=51&amp;imgcn.y=11&amp;DETAIL=1963073030%2FN&amp;caller=list&amp;row_id=1&amp;numero=1&amp;rech=16&amp;cn=1963073030&amp;table_name=WET&amp;nm=1963073004&amp;la=N&amp;ddfm=07&amp;chercher=t&amp;language=nl&amp;choix1=EN&amp;choix2=EN&amp;fromtab=wet_all&amp;nl=n&amp;sql=dd+between+date%271963-07-30%27+and+date%271963-07-30%27+and+actif+%3D+%27Y%27&amp;ddda=1963&amp;tri=dd+AS+RANK+&amp;trier=afkondiging&amp;ddfa=1963&amp;dddj=30&amp;dddm=07&amp;ddfj=30" \l "Art.3" </w:instrText>
      </w:r>
      <w:r>
        <w:fldChar w:fldCharType="separate"/>
      </w:r>
      <w:proofErr w:type="gramStart"/>
      <w:r>
        <w:rPr>
          <w:rStyle w:val="Hyperlink"/>
          <w:b/>
          <w:bCs/>
          <w:sz w:val="27"/>
          <w:szCs w:val="27"/>
        </w:rPr>
        <w:t>Art.</w:t>
      </w:r>
      <w:proofErr w:type="gramEnd"/>
      <w:r>
        <w:fldChar w:fldCharType="end"/>
      </w:r>
      <w:bookmarkEnd w:id="4"/>
      <w:r>
        <w:rPr>
          <w:rStyle w:val="apple-converted-space"/>
          <w:b/>
          <w:bCs/>
          <w:color w:val="000000"/>
          <w:sz w:val="27"/>
          <w:szCs w:val="27"/>
        </w:rPr>
        <w:t> </w:t>
      </w:r>
      <w:hyperlink r:id="rId7" w:anchor="Art.5" w:history="1">
        <w:r>
          <w:rPr>
            <w:rStyle w:val="Hyperlink"/>
            <w:b/>
            <w:bCs/>
            <w:sz w:val="27"/>
            <w:szCs w:val="27"/>
          </w:rPr>
          <w:t>4</w:t>
        </w:r>
      </w:hyperlink>
      <w:r>
        <w:rPr>
          <w:b/>
          <w:bCs/>
          <w:color w:val="000000"/>
          <w:sz w:val="27"/>
          <w:szCs w:val="27"/>
        </w:rPr>
        <w:t xml:space="preserve">. Onverminderd de machten van de officieren van gerechtelijke politie, worden de ambtenaren van de algemene economische inspectie </w:t>
      </w:r>
      <w:proofErr w:type="gramStart"/>
      <w:r>
        <w:rPr>
          <w:b/>
          <w:bCs/>
          <w:color w:val="000000"/>
          <w:sz w:val="27"/>
          <w:szCs w:val="27"/>
        </w:rPr>
        <w:t>inzonderheid</w:t>
      </w:r>
      <w:proofErr w:type="gramEnd"/>
      <w:r>
        <w:rPr>
          <w:b/>
          <w:bCs/>
          <w:color w:val="000000"/>
          <w:sz w:val="27"/>
          <w:szCs w:val="27"/>
        </w:rPr>
        <w:t xml:space="preserve"> </w:t>
      </w:r>
      <w:r>
        <w:rPr>
          <w:b/>
          <w:bCs/>
          <w:color w:val="000000"/>
          <w:sz w:val="27"/>
          <w:szCs w:val="27"/>
        </w:rPr>
        <w:lastRenderedPageBreak/>
        <w:t>aangewezen om te waken over de toepassing van deze wet en van de besluiten getroffen krachtens artikel 2.</w:t>
      </w:r>
      <w:r>
        <w:rPr>
          <w:b/>
          <w:bCs/>
          <w:color w:val="000000"/>
          <w:sz w:val="27"/>
          <w:szCs w:val="27"/>
        </w:rPr>
        <w:br/>
        <w:t>  Zij sporen de overtredingen der bepalingen van deze wet en van de in uitvoering daarvan getroffen besluiten op en stellen ze vast in proces-verbaal, die bewijskrachtig zijn tot het tegenbewijs wordt geleverd.</w:t>
      </w:r>
      <w:r>
        <w:rPr>
          <w:b/>
          <w:bCs/>
          <w:color w:val="000000"/>
          <w:sz w:val="27"/>
          <w:szCs w:val="27"/>
        </w:rPr>
        <w:br/>
        <w:t>  Zij hebben de vrije toegang tot bioscoopzalen en tot de aan de zalen grenzende lokalen, behalve tot de woonvertrekken.</w:t>
      </w:r>
      <w:r>
        <w:rPr>
          <w:b/>
          <w:bCs/>
          <w:color w:val="000000"/>
          <w:sz w:val="27"/>
          <w:szCs w:val="27"/>
        </w:rPr>
        <w:br/>
        <w:t xml:space="preserve">  De filmverdelers </w:t>
      </w:r>
      <w:proofErr w:type="gramStart"/>
      <w:r>
        <w:rPr>
          <w:b/>
          <w:bCs/>
          <w:color w:val="000000"/>
          <w:sz w:val="27"/>
          <w:szCs w:val="27"/>
        </w:rPr>
        <w:t>alsmede</w:t>
      </w:r>
      <w:proofErr w:type="gramEnd"/>
      <w:r>
        <w:rPr>
          <w:b/>
          <w:bCs/>
          <w:color w:val="000000"/>
          <w:sz w:val="27"/>
          <w:szCs w:val="27"/>
        </w:rPr>
        <w:t xml:space="preserve"> de bioscoopondernemers en hun </w:t>
      </w:r>
      <w:proofErr w:type="spellStart"/>
      <w:r>
        <w:rPr>
          <w:b/>
          <w:bCs/>
          <w:color w:val="000000"/>
          <w:sz w:val="27"/>
          <w:szCs w:val="27"/>
        </w:rPr>
        <w:t>aangestelden</w:t>
      </w:r>
      <w:proofErr w:type="spellEnd"/>
      <w:r>
        <w:rPr>
          <w:b/>
          <w:bCs/>
          <w:color w:val="000000"/>
          <w:sz w:val="27"/>
          <w:szCs w:val="27"/>
        </w:rPr>
        <w:t xml:space="preserve"> zijn gehouden hun de inlichtingen te verstrekken en hun zonder verplaatsing inzage te geven van de documenten die nodig zijn voor de uitoefening van hun ambt.</w:t>
      </w:r>
      <w:r>
        <w:rPr>
          <w:b/>
          <w:bCs/>
          <w:color w:val="000000"/>
          <w:sz w:val="27"/>
          <w:szCs w:val="27"/>
        </w:rPr>
        <w:br/>
      </w:r>
      <w:r>
        <w:rPr>
          <w:b/>
          <w:bCs/>
          <w:color w:val="000000"/>
          <w:sz w:val="27"/>
          <w:szCs w:val="27"/>
        </w:rPr>
        <w:br/>
        <w:t>  </w:t>
      </w:r>
      <w:bookmarkStart w:id="5" w:name="Art.5"/>
      <w:r>
        <w:fldChar w:fldCharType="begin"/>
      </w:r>
      <w:r>
        <w:instrText xml:space="preserve"> HYPERLINK "http://www.ejustice.just.fgov.be/cgi_loi/loi_a1.pl?imgcn.x=51&amp;imgcn.y=11&amp;DETAIL=1963073030%2FN&amp;caller=list&amp;row_id=1&amp;numero=1&amp;rech=16&amp;cn=1963073030&amp;table_name=WET&amp;nm=1963073004&amp;la=N&amp;ddfm=07&amp;chercher=t&amp;language=nl&amp;choix1=EN&amp;choix2=EN&amp;fromtab=wet_all&amp;nl=n&amp;sql=dd+between+date%271963-07-30%27+and+date%271963-07-30%27+and+actif+%3D+%27Y%27&amp;ddda=1963&amp;tri=dd+AS+RANK+&amp;trier=afkondiging&amp;ddfa=1963&amp;dddj=30&amp;dddm=07&amp;ddfj=30" \l "Art.4" </w:instrText>
      </w:r>
      <w:r>
        <w:fldChar w:fldCharType="separate"/>
      </w:r>
      <w:proofErr w:type="gramStart"/>
      <w:r>
        <w:rPr>
          <w:rStyle w:val="Hyperlink"/>
          <w:b/>
          <w:bCs/>
          <w:sz w:val="27"/>
          <w:szCs w:val="27"/>
        </w:rPr>
        <w:t>Art.</w:t>
      </w:r>
      <w:proofErr w:type="gramEnd"/>
      <w:r>
        <w:fldChar w:fldCharType="end"/>
      </w:r>
      <w:bookmarkEnd w:id="5"/>
      <w:r>
        <w:rPr>
          <w:rStyle w:val="apple-converted-space"/>
          <w:b/>
          <w:bCs/>
          <w:color w:val="000000"/>
          <w:sz w:val="27"/>
          <w:szCs w:val="27"/>
        </w:rPr>
        <w:t> </w:t>
      </w:r>
      <w:hyperlink r:id="rId8" w:anchor="Art.6" w:history="1">
        <w:r>
          <w:rPr>
            <w:rStyle w:val="Hyperlink"/>
            <w:b/>
            <w:bCs/>
            <w:sz w:val="27"/>
            <w:szCs w:val="27"/>
          </w:rPr>
          <w:t>5</w:t>
        </w:r>
      </w:hyperlink>
      <w:r>
        <w:rPr>
          <w:b/>
          <w:bCs/>
          <w:color w:val="000000"/>
          <w:sz w:val="27"/>
          <w:szCs w:val="27"/>
        </w:rPr>
        <w:t>. Onverminderd de toepassing der strengere straffen gesteld bij het Strafwetboek, worden gestraft met gevangenisstraf van vijftien dagen tot drie maanden en met geldboete van 1 000 tot 2 000 frank, of met een van die straffen alleen :</w:t>
      </w:r>
      <w:r>
        <w:rPr>
          <w:b/>
          <w:bCs/>
          <w:color w:val="000000"/>
          <w:sz w:val="27"/>
          <w:szCs w:val="27"/>
        </w:rPr>
        <w:br/>
        <w:t xml:space="preserve">  1° hij die krachtens artikel 2 genomen besluiten </w:t>
      </w:r>
      <w:proofErr w:type="gramStart"/>
      <w:r>
        <w:rPr>
          <w:b/>
          <w:bCs/>
          <w:color w:val="000000"/>
          <w:sz w:val="27"/>
          <w:szCs w:val="27"/>
        </w:rPr>
        <w:t>overtreedt;</w:t>
      </w:r>
      <w:r>
        <w:rPr>
          <w:b/>
          <w:bCs/>
          <w:color w:val="000000"/>
          <w:sz w:val="27"/>
          <w:szCs w:val="27"/>
        </w:rPr>
        <w:br/>
        <w:t>  </w:t>
      </w:r>
      <w:proofErr w:type="gramEnd"/>
      <w:r>
        <w:rPr>
          <w:b/>
          <w:bCs/>
          <w:color w:val="000000"/>
          <w:sz w:val="27"/>
          <w:szCs w:val="27"/>
        </w:rPr>
        <w:t>2° hij die zich verzet tegen bezoeken, inspecties, controles of vragen naar inlichtingen of documenten door de in artikel 4 van deze wet bepaalde overheden, of die, wetens, onjuiste inlichtingen of documenten verstrekt.</w:t>
      </w:r>
      <w:r>
        <w:rPr>
          <w:b/>
          <w:bCs/>
          <w:color w:val="000000"/>
          <w:sz w:val="27"/>
          <w:szCs w:val="27"/>
        </w:rPr>
        <w:br/>
        <w:t>  Bij herhaling binnen vijf jaar na de laatste veroordeling voor een van die overtredingen, kunnen de straffen verdubbeld worden.</w:t>
      </w:r>
      <w:r>
        <w:rPr>
          <w:b/>
          <w:bCs/>
          <w:color w:val="000000"/>
          <w:sz w:val="27"/>
          <w:szCs w:val="27"/>
        </w:rPr>
        <w:br/>
      </w:r>
      <w:r>
        <w:rPr>
          <w:b/>
          <w:bCs/>
          <w:color w:val="000000"/>
          <w:sz w:val="27"/>
          <w:szCs w:val="27"/>
        </w:rPr>
        <w:br/>
        <w:t>  </w:t>
      </w:r>
      <w:bookmarkStart w:id="6" w:name="Art.6"/>
      <w:r>
        <w:fldChar w:fldCharType="begin"/>
      </w:r>
      <w:r>
        <w:instrText xml:space="preserve"> HYPERLINK "http://www.ejustice.just.fgov.be/cgi_loi/loi_a1.pl?imgcn.x=51&amp;imgcn.y=11&amp;DETAIL=1963073030%2FN&amp;caller=list&amp;row_id=1&amp;numero=1&amp;rech=16&amp;cn=1963073030&amp;table_name=WET&amp;nm=1963073004&amp;la=N&amp;ddfm=07&amp;chercher=t&amp;language=nl&amp;choix1=EN&amp;choix2=EN&amp;fromtab=wet_all&amp;nl=n&amp;sql=dd+between+date%271963-07-30%27+and+date%271963-07-30%27+and+actif+%3D+%27Y%27&amp;ddda=1963&amp;tri=dd+AS+RANK+&amp;trier=afkondiging&amp;ddfa=1963&amp;dddj=30&amp;dddm=07&amp;ddfj=30" \l "Art.5" </w:instrText>
      </w:r>
      <w:r>
        <w:fldChar w:fldCharType="separate"/>
      </w:r>
      <w:proofErr w:type="gramStart"/>
      <w:r>
        <w:rPr>
          <w:rStyle w:val="Hyperlink"/>
          <w:b/>
          <w:bCs/>
          <w:sz w:val="27"/>
          <w:szCs w:val="27"/>
        </w:rPr>
        <w:t>Art.</w:t>
      </w:r>
      <w:proofErr w:type="gramEnd"/>
      <w:r>
        <w:fldChar w:fldCharType="end"/>
      </w:r>
      <w:bookmarkEnd w:id="6"/>
      <w:r>
        <w:rPr>
          <w:rStyle w:val="apple-converted-space"/>
          <w:b/>
          <w:bCs/>
          <w:color w:val="000000"/>
          <w:sz w:val="27"/>
          <w:szCs w:val="27"/>
        </w:rPr>
        <w:t> </w:t>
      </w:r>
      <w:hyperlink r:id="rId9" w:anchor="Art.7" w:history="1">
        <w:r>
          <w:rPr>
            <w:rStyle w:val="Hyperlink"/>
            <w:b/>
            <w:bCs/>
            <w:sz w:val="27"/>
            <w:szCs w:val="27"/>
          </w:rPr>
          <w:t>6</w:t>
        </w:r>
      </w:hyperlink>
      <w:r>
        <w:rPr>
          <w:b/>
          <w:bCs/>
          <w:color w:val="000000"/>
          <w:sz w:val="27"/>
          <w:szCs w:val="27"/>
        </w:rPr>
        <w:t>. In geval van overtreding mogen de films in beslag genomen en verbeurd verklaard worden zelfs wanneer zij geen eigendom van de verdeler zijn.</w:t>
      </w:r>
      <w:r>
        <w:rPr>
          <w:b/>
          <w:bCs/>
          <w:color w:val="000000"/>
          <w:sz w:val="27"/>
          <w:szCs w:val="27"/>
        </w:rPr>
        <w:br/>
      </w:r>
      <w:r>
        <w:rPr>
          <w:b/>
          <w:bCs/>
          <w:color w:val="000000"/>
          <w:sz w:val="27"/>
          <w:szCs w:val="27"/>
        </w:rPr>
        <w:br/>
        <w:t>  </w:t>
      </w:r>
      <w:bookmarkStart w:id="7" w:name="Art.7"/>
      <w:r>
        <w:fldChar w:fldCharType="begin"/>
      </w:r>
      <w:r>
        <w:instrText xml:space="preserve"> HYPERLINK "http://www.ejustice.just.fgov.be/cgi_loi/loi_a1.pl?imgcn.x=51&amp;imgcn.y=11&amp;DETAIL=1963073030%2FN&amp;caller=list&amp;row_id=1&amp;numero=1&amp;rech=16&amp;cn=1963073030&amp;table_name=WET&amp;nm=1963073004&amp;la=N&amp;ddfm=07&amp;chercher=t&amp;language=nl&amp;choix1=EN&amp;choix2=EN&amp;fromtab=wet_all&amp;nl=n&amp;sql=dd+between+date%271963-07-30%27+and+date%271963-07-30%27+and+actif+%3D+%27Y%27&amp;ddda=1963&amp;tri=dd+AS+RANK+&amp;trier=afkondiging&amp;ddfa=1963&amp;dddj=30&amp;dddm=07&amp;ddfj=30" \l "Art.6" </w:instrText>
      </w:r>
      <w:r>
        <w:fldChar w:fldCharType="separate"/>
      </w:r>
      <w:proofErr w:type="gramStart"/>
      <w:r>
        <w:rPr>
          <w:rStyle w:val="Hyperlink"/>
          <w:b/>
          <w:bCs/>
          <w:sz w:val="27"/>
          <w:szCs w:val="27"/>
        </w:rPr>
        <w:t>Art.</w:t>
      </w:r>
      <w:proofErr w:type="gramEnd"/>
      <w:r>
        <w:fldChar w:fldCharType="end"/>
      </w:r>
      <w:bookmarkEnd w:id="7"/>
      <w:r>
        <w:rPr>
          <w:rStyle w:val="apple-converted-space"/>
          <w:b/>
          <w:bCs/>
          <w:color w:val="000000"/>
          <w:sz w:val="27"/>
          <w:szCs w:val="27"/>
        </w:rPr>
        <w:t> </w:t>
      </w:r>
      <w:r>
        <w:rPr>
          <w:b/>
          <w:bCs/>
          <w:color w:val="000000"/>
          <w:sz w:val="27"/>
          <w:szCs w:val="27"/>
        </w:rPr>
        <w:t>7. Door afwijking van artikel 100 van het Strafwetboek, zijn hoofdstuk VII en artikel 85 van het boek I van dit Wetboek toepasselijk op de in artikel 5 van deze wet bedoelde overtredingen.</w:t>
      </w:r>
    </w:p>
    <w:sectPr w:rsidR="00E950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E7C"/>
    <w:rsid w:val="00943E7C"/>
    <w:rsid w:val="00E950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943E7C"/>
  </w:style>
  <w:style w:type="character" w:styleId="Hyperlink">
    <w:name w:val="Hyperlink"/>
    <w:basedOn w:val="Standaardalinea-lettertype"/>
    <w:uiPriority w:val="99"/>
    <w:semiHidden/>
    <w:unhideWhenUsed/>
    <w:rsid w:val="00943E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943E7C"/>
  </w:style>
  <w:style w:type="character" w:styleId="Hyperlink">
    <w:name w:val="Hyperlink"/>
    <w:basedOn w:val="Standaardalinea-lettertype"/>
    <w:uiPriority w:val="99"/>
    <w:semiHidden/>
    <w:unhideWhenUsed/>
    <w:rsid w:val="00943E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imgcn.x=51&amp;imgcn.y=11&amp;DETAIL=1963073030%2FN&amp;caller=list&amp;row_id=1&amp;numero=1&amp;rech=16&amp;cn=1963073030&amp;table_name=WET&amp;nm=1963073004&amp;la=N&amp;ddfm=07&amp;chercher=t&amp;language=nl&amp;choix1=EN&amp;choix2=EN&amp;fromtab=wet_all&amp;nl=n&amp;sql=dd+between+date%271963-07-30%27+and+date%271963-07-30%27+and+actif+%3D+%27Y%27&amp;ddda=1963&amp;tri=dd+AS+RANK+&amp;trier=afkondiging&amp;ddfa=1963&amp;dddj=30&amp;dddm=07&amp;ddfj=30" TargetMode="External"/><Relationship Id="rId3" Type="http://schemas.openxmlformats.org/officeDocument/2006/relationships/settings" Target="settings.xml"/><Relationship Id="rId7" Type="http://schemas.openxmlformats.org/officeDocument/2006/relationships/hyperlink" Target="http://www.ejustice.just.fgov.be/cgi_loi/loi_a1.pl?imgcn.x=51&amp;imgcn.y=11&amp;DETAIL=1963073030%2FN&amp;caller=list&amp;row_id=1&amp;numero=1&amp;rech=16&amp;cn=1963073030&amp;table_name=WET&amp;nm=1963073004&amp;la=N&amp;ddfm=07&amp;chercher=t&amp;language=nl&amp;choix1=EN&amp;choix2=EN&amp;fromtab=wet_all&amp;nl=n&amp;sql=dd+between+date%271963-07-30%27+and+date%271963-07-30%27+and+actif+%3D+%27Y%27&amp;ddda=1963&amp;tri=dd+AS+RANK+&amp;trier=afkondiging&amp;ddfa=1963&amp;dddj=30&amp;dddm=07&amp;ddfj=3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justice.just.fgov.be/cgi_loi/loi_a1.pl?imgcn.x=51&amp;imgcn.y=11&amp;DETAIL=1963073030%2FN&amp;caller=list&amp;row_id=1&amp;numero=1&amp;rech=16&amp;cn=1963073030&amp;table_name=WET&amp;nm=1963073004&amp;la=N&amp;ddfm=07&amp;chercher=t&amp;language=nl&amp;choix1=EN&amp;choix2=EN&amp;fromtab=wet_all&amp;nl=n&amp;sql=dd+between+date%271963-07-30%27+and+date%271963-07-30%27+and+actif+%3D+%27Y%27&amp;ddda=1963&amp;tri=dd+AS+RANK+&amp;trier=afkondiging&amp;ddfa=1963&amp;dddj=30&amp;dddm=07&amp;ddfj=30" TargetMode="External"/><Relationship Id="rId11" Type="http://schemas.openxmlformats.org/officeDocument/2006/relationships/theme" Target="theme/theme1.xml"/><Relationship Id="rId5" Type="http://schemas.openxmlformats.org/officeDocument/2006/relationships/hyperlink" Target="http://www.ejustice.just.fgov.be/cgi_loi/loi_a1.pl?imgcn.x=51&amp;imgcn.y=11&amp;DETAIL=1963073030%2FN&amp;caller=list&amp;row_id=1&amp;numero=1&amp;rech=16&amp;cn=1963073030&amp;table_name=WET&amp;nm=1963073004&amp;la=N&amp;ddfm=07&amp;chercher=t&amp;language=nl&amp;choix1=EN&amp;choix2=EN&amp;fromtab=wet_all&amp;nl=n&amp;sql=dd+between+date%271963-07-30%27+and+date%271963-07-30%27+and+actif+%3D+%27Y%27&amp;ddda=1963&amp;tri=dd+AS+RANK+&amp;trier=afkondiging&amp;ddfa=1963&amp;dddj=30&amp;dddm=07&amp;ddfj=3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justice.just.fgov.be/cgi_loi/loi_a1.pl?imgcn.x=51&amp;imgcn.y=11&amp;DETAIL=1963073030%2FN&amp;caller=list&amp;row_id=1&amp;numero=1&amp;rech=16&amp;cn=1963073030&amp;table_name=WET&amp;nm=1963073004&amp;la=N&amp;ddfm=07&amp;chercher=t&amp;language=nl&amp;choix1=EN&amp;choix2=EN&amp;fromtab=wet_all&amp;nl=n&amp;sql=dd+between+date%271963-07-30%27+and+date%271963-07-30%27+and+actif+%3D+%27Y%27&amp;ddda=1963&amp;tri=dd+AS+RANK+&amp;trier=afkondiging&amp;ddfa=1963&amp;dddj=30&amp;dddm=07&amp;ddfj=3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1388</Words>
  <Characters>7635</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Laermans</dc:creator>
  <cp:lastModifiedBy>Thierry Laermans</cp:lastModifiedBy>
  <cp:revision>1</cp:revision>
  <dcterms:created xsi:type="dcterms:W3CDTF">2013-11-05T14:42:00Z</dcterms:created>
  <dcterms:modified xsi:type="dcterms:W3CDTF">2013-11-05T14:44:00Z</dcterms:modified>
</cp:coreProperties>
</file>